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68"/>
        <w:tblW w:w="16650" w:type="dxa"/>
        <w:tblBorders>
          <w:bottom w:val="single" w:sz="6" w:space="0" w:color="BCBCB4"/>
          <w:right w:val="single" w:sz="6" w:space="0" w:color="BCBCB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6"/>
        <w:gridCol w:w="6554"/>
        <w:gridCol w:w="3211"/>
        <w:gridCol w:w="2219"/>
      </w:tblGrid>
      <w:tr w:rsidR="00182FD2" w:rsidRPr="00182FD2" w:rsidTr="00182FD2">
        <w:tc>
          <w:tcPr>
            <w:tcW w:w="0" w:type="auto"/>
            <w:shd w:val="clear" w:color="auto" w:fill="DAE2E7"/>
            <w:tcMar>
              <w:top w:w="210" w:type="dxa"/>
              <w:left w:w="180" w:type="dxa"/>
              <w:bottom w:w="210" w:type="dxa"/>
              <w:right w:w="180" w:type="dxa"/>
            </w:tcMar>
            <w:vAlign w:val="center"/>
            <w:hideMark/>
          </w:tcPr>
          <w:p w:rsidR="00182FD2" w:rsidRPr="00182FD2" w:rsidRDefault="00182FD2" w:rsidP="00182FD2">
            <w:r w:rsidRPr="00182FD2">
              <w:rPr>
                <w:b/>
                <w:bCs/>
              </w:rPr>
              <w:t>Изменение</w:t>
            </w:r>
          </w:p>
        </w:tc>
        <w:tc>
          <w:tcPr>
            <w:tcW w:w="0" w:type="auto"/>
            <w:shd w:val="clear" w:color="auto" w:fill="DAE2E7"/>
            <w:tcMar>
              <w:top w:w="210" w:type="dxa"/>
              <w:left w:w="180" w:type="dxa"/>
              <w:bottom w:w="210" w:type="dxa"/>
              <w:right w:w="180" w:type="dxa"/>
            </w:tcMar>
            <w:vAlign w:val="center"/>
            <w:hideMark/>
          </w:tcPr>
          <w:p w:rsidR="00182FD2" w:rsidRPr="00182FD2" w:rsidRDefault="00182FD2" w:rsidP="00182FD2">
            <w:r w:rsidRPr="00182FD2">
              <w:rPr>
                <w:b/>
                <w:bCs/>
              </w:rPr>
              <w:t>Особенности</w:t>
            </w:r>
          </w:p>
        </w:tc>
        <w:tc>
          <w:tcPr>
            <w:tcW w:w="0" w:type="auto"/>
            <w:shd w:val="clear" w:color="auto" w:fill="DAE2E7"/>
            <w:tcMar>
              <w:top w:w="210" w:type="dxa"/>
              <w:left w:w="180" w:type="dxa"/>
              <w:bottom w:w="210" w:type="dxa"/>
              <w:right w:w="180" w:type="dxa"/>
            </w:tcMar>
            <w:vAlign w:val="center"/>
            <w:hideMark/>
          </w:tcPr>
          <w:p w:rsidR="00182FD2" w:rsidRPr="00182FD2" w:rsidRDefault="00182FD2" w:rsidP="00182FD2">
            <w:r w:rsidRPr="00182FD2">
              <w:rPr>
                <w:b/>
                <w:bCs/>
              </w:rPr>
              <w:t>Основание</w:t>
            </w:r>
          </w:p>
        </w:tc>
        <w:tc>
          <w:tcPr>
            <w:tcW w:w="0" w:type="auto"/>
            <w:shd w:val="clear" w:color="auto" w:fill="DAE2E7"/>
            <w:tcMar>
              <w:top w:w="210" w:type="dxa"/>
              <w:left w:w="180" w:type="dxa"/>
              <w:bottom w:w="210" w:type="dxa"/>
              <w:right w:w="180" w:type="dxa"/>
            </w:tcMar>
            <w:vAlign w:val="center"/>
            <w:hideMark/>
          </w:tcPr>
          <w:p w:rsidR="00182FD2" w:rsidRPr="00182FD2" w:rsidRDefault="00182FD2" w:rsidP="00182FD2">
            <w:r w:rsidRPr="00182FD2">
              <w:rPr>
                <w:b/>
                <w:bCs/>
              </w:rPr>
              <w:t>С какой даты действует</w:t>
            </w:r>
          </w:p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1. Организовать диспансеризацию работников можно по месту работы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Работодатель вправе организовать диспансерное наблюдение в отношении работников, а работающие застрахованные лица вправе пройти диспансерное наблюдение по месту работы в соответствии с программой госгарантий бесплатного оказания гражданам медицинской помощи.</w:t>
            </w:r>
          </w:p>
          <w:p w:rsidR="00182FD2" w:rsidRPr="00182FD2" w:rsidRDefault="00182FD2" w:rsidP="00182FD2">
            <w:r w:rsidRPr="00182FD2">
              <w:t>Сведения о диспансерном наблюдении медорганизация должна вносить в ГИС в сфере здравоохранения. Эти данные также передаются на Госуслуги.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Приказ Минздрава России от 28 февраля 2024 № 91Н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С 23 марта 2024</w:t>
            </w:r>
          </w:p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2. Ввели новый акт о несчастном случае на производстве формы Н-1С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Акт формы Н-1С требуется при продлении расследования несчастного случая на производстве, когда нужно дожидаться результаты экспертизы, материалов или решения суда.</w:t>
            </w:r>
          </w:p>
          <w:p w:rsidR="00182FD2" w:rsidRPr="00182FD2" w:rsidRDefault="00182FD2" w:rsidP="00182FD2">
            <w:r w:rsidRPr="00182FD2">
              <w:t>Документ позволит пострадавшему работнику получить полагающиеся ему выплаты.</w:t>
            </w:r>
          </w:p>
          <w:p w:rsidR="00182FD2" w:rsidRPr="00182FD2" w:rsidRDefault="00182FD2" w:rsidP="00182FD2">
            <w:r w:rsidRPr="00182FD2">
              <w:t>Работодатель оформляет и утверждает акт по форме Н-1С по письменному решению комиссии или государственного инспектора труда, согласованному с руководителем ГИТ в субъекте РФ и страховщиком.</w:t>
            </w:r>
          </w:p>
          <w:p w:rsidR="00182FD2" w:rsidRPr="00182FD2" w:rsidRDefault="00182FD2" w:rsidP="00182FD2">
            <w:r w:rsidRPr="00182FD2">
              <w:t>В течение трёх календарных дней со дня утверждения работодателю следует направить акт и документы, подтверждающие причинно-следственную связь между травмой (гибелью) работника и выполнением работы или других поручений работодателя, в исполнительный орган страховщика по месту регистрации работодателя в качестве страхователя.</w:t>
            </w:r>
          </w:p>
          <w:p w:rsidR="00182FD2" w:rsidRPr="00182FD2" w:rsidRDefault="00182FD2" w:rsidP="00182FD2">
            <w:r w:rsidRPr="00182FD2">
              <w:lastRenderedPageBreak/>
              <w:t>После того как причины несчастного случая и допустившие нарушение требований охраны труда лица установлены, выработаны предложения по устранению выявленных нарушений, причин несчастного случая и предупреждению аналогичных несчастных случаев, оформляется окончательный акт по форме Н-1.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lastRenderedPageBreak/>
              <w:t>Приказ Минтруда России от 25 апреля 2024 № 237н</w:t>
            </w:r>
          </w:p>
        </w:tc>
        <w:tc>
          <w:tcPr>
            <w:tcW w:w="0" w:type="auto"/>
            <w:vMerge w:val="restart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С 1 сентября 2024</w:t>
            </w:r>
          </w:p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3. Проводить спецоценку условий труда (СОУТ) нужно по новой методике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В новом документе определили особенности сопоставления и установления совпадения имеющихся на рабочем месте факторов производственной среды и трудового процесса с факторами, предусмотренными классификатором вредных и (или) опасных производственных факторов (п.8 Методики).</w:t>
            </w:r>
          </w:p>
          <w:p w:rsidR="00182FD2" w:rsidRPr="00182FD2" w:rsidRDefault="00182FD2" w:rsidP="00182FD2">
            <w:r w:rsidRPr="00182FD2">
              <w:t>Сопоставление производится путём сравнения наименований факторов с учётом:</w:t>
            </w:r>
          </w:p>
          <w:p w:rsidR="00182FD2" w:rsidRPr="00182FD2" w:rsidRDefault="00182FD2" w:rsidP="00182FD2">
            <w:r w:rsidRPr="00182FD2">
              <w:t>параметров микроклимата;</w:t>
            </w:r>
          </w:p>
          <w:p w:rsidR="00182FD2" w:rsidRPr="00182FD2" w:rsidRDefault="00182FD2" w:rsidP="00182FD2">
            <w:pPr>
              <w:numPr>
                <w:ilvl w:val="0"/>
                <w:numId w:val="1"/>
              </w:numPr>
            </w:pPr>
            <w:r w:rsidRPr="00182FD2">
              <w:t>аэрозолей преимущественно фиброгенного действия;</w:t>
            </w:r>
          </w:p>
          <w:p w:rsidR="00182FD2" w:rsidRPr="00182FD2" w:rsidRDefault="00182FD2" w:rsidP="00182FD2">
            <w:pPr>
              <w:numPr>
                <w:ilvl w:val="0"/>
                <w:numId w:val="1"/>
              </w:numPr>
            </w:pPr>
            <w:r w:rsidRPr="00182FD2">
              <w:t>виброакустических факторов;</w:t>
            </w:r>
          </w:p>
          <w:p w:rsidR="00182FD2" w:rsidRPr="00182FD2" w:rsidRDefault="00182FD2" w:rsidP="00182FD2">
            <w:pPr>
              <w:numPr>
                <w:ilvl w:val="0"/>
                <w:numId w:val="1"/>
              </w:numPr>
            </w:pPr>
            <w:r w:rsidRPr="00182FD2">
              <w:t>параметров световой среды;</w:t>
            </w:r>
          </w:p>
          <w:p w:rsidR="00182FD2" w:rsidRPr="00182FD2" w:rsidRDefault="00182FD2" w:rsidP="00182FD2">
            <w:pPr>
              <w:numPr>
                <w:ilvl w:val="0"/>
                <w:numId w:val="1"/>
              </w:numPr>
            </w:pPr>
            <w:r w:rsidRPr="00182FD2">
              <w:t>неионизирующих и ионизирующих излучений;</w:t>
            </w:r>
          </w:p>
          <w:p w:rsidR="00182FD2" w:rsidRPr="00182FD2" w:rsidRDefault="00182FD2" w:rsidP="00182FD2">
            <w:pPr>
              <w:numPr>
                <w:ilvl w:val="0"/>
                <w:numId w:val="1"/>
              </w:numPr>
            </w:pPr>
            <w:r w:rsidRPr="00182FD2">
              <w:t>химических и биологических факторов;</w:t>
            </w:r>
          </w:p>
          <w:p w:rsidR="00182FD2" w:rsidRPr="00182FD2" w:rsidRDefault="00182FD2" w:rsidP="00182FD2">
            <w:pPr>
              <w:numPr>
                <w:ilvl w:val="0"/>
                <w:numId w:val="1"/>
              </w:numPr>
            </w:pPr>
            <w:r w:rsidRPr="00182FD2">
              <w:t>показателей тяжести и напряжённости трудового процесса.</w:t>
            </w:r>
          </w:p>
          <w:p w:rsidR="00182FD2" w:rsidRPr="00182FD2" w:rsidRDefault="00182FD2" w:rsidP="00182FD2">
            <w:r w:rsidRPr="00182FD2">
              <w:t>Сопоставление и установление факторов — один из этапов проведения идентификации потенциально вредных и (или) опасных производственных факторов.</w:t>
            </w:r>
          </w:p>
          <w:p w:rsidR="00182FD2" w:rsidRPr="00182FD2" w:rsidRDefault="00182FD2" w:rsidP="00182FD2">
            <w:r w:rsidRPr="00182FD2">
              <w:t>Идентификацию осуществляет эксперт организации, проводящей СОУТ.</w:t>
            </w:r>
          </w:p>
          <w:p w:rsidR="00182FD2" w:rsidRPr="00182FD2" w:rsidRDefault="00182FD2" w:rsidP="00182FD2">
            <w:r w:rsidRPr="00182FD2">
              <w:t xml:space="preserve">По результатам идентификации потенциально вредных или опасных производственных факторов эксперт оформляет заключение. О том, что рабочее место безопасно (вредные и (или) опасные производственные </w:t>
            </w:r>
            <w:r w:rsidRPr="00182FD2">
              <w:lastRenderedPageBreak/>
              <w:t xml:space="preserve">факторы отсутствуют), можно заключить при несовпадении </w:t>
            </w:r>
            <w:r w:rsidRPr="00182FD2">
              <w:t>наименований,</w:t>
            </w:r>
            <w:r w:rsidRPr="00182FD2">
              <w:t xml:space="preserve"> имеющихся на рабочем месте факторов с наименованиями факторов, предусмотренных классификатором.</w:t>
            </w:r>
          </w:p>
          <w:p w:rsidR="00182FD2" w:rsidRPr="00182FD2" w:rsidRDefault="00182FD2" w:rsidP="00182FD2">
            <w:r w:rsidRPr="00182FD2">
              <w:t>На основании заключения эксперта комиссия по проведению СОУТ принимает решение о проведении на рабочем месте исследований (испытаний) и измерений вредных и (или) опасных факторов.</w:t>
            </w:r>
          </w:p>
          <w:p w:rsidR="00182FD2" w:rsidRPr="00182FD2" w:rsidRDefault="00182FD2" w:rsidP="00182FD2">
            <w:r w:rsidRPr="00182FD2">
              <w:t>Решения комиссии принимаются простым большинством голосов и оформляются протоколом заседания комиссии. Члены комиссии, которые не согласны с принятым решением, подписывают решение с изложением своего аргументированного особого мнения, которое приобщается к протоколу заседания комиссии (п.п.10,11 Методики).</w:t>
            </w:r>
          </w:p>
          <w:p w:rsidR="00182FD2" w:rsidRPr="00182FD2" w:rsidRDefault="00182FD2" w:rsidP="00182FD2">
            <w:r w:rsidRPr="00182FD2">
              <w:t>Установлено, что при проведении СОУТ на рабочих местах, расположенных в отдельных видах транспорта и объектах транспортной инфраструктуры, в отношении которых не установлены особенности проведения СОУТ, применяются гигиенические нормативы (Постановление Главного государственного санитарного врача РФ от 16.10.2020 № 30), установленные для отдельных видов транспорта и объектов транспортной инфраструктуры (п.25 Методики).</w:t>
            </w:r>
          </w:p>
          <w:p w:rsidR="00182FD2" w:rsidRPr="00182FD2" w:rsidRDefault="00182FD2" w:rsidP="00182FD2">
            <w:r w:rsidRPr="00182FD2">
              <w:t>Также в новой Методике актуализировали классификатор вредных и (или) опасных производственных факторов, форму отчёта о проведении СОУТ и инструкцию по её заполнению.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lastRenderedPageBreak/>
              <w:t>Приказ Минтруда от 21 ноября 2023 № 817н</w:t>
            </w:r>
          </w:p>
        </w:tc>
        <w:tc>
          <w:tcPr>
            <w:tcW w:w="0" w:type="auto"/>
            <w:vMerge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vAlign w:val="center"/>
            <w:hideMark/>
          </w:tcPr>
          <w:p w:rsidR="00182FD2" w:rsidRPr="00182FD2" w:rsidRDefault="00182FD2" w:rsidP="00182FD2"/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4. Изменилось правила допуска и аттестации организаций по проведению СОУТ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 xml:space="preserve">Скорректировали Правила допуска организаций к деятельности по проведению специальной оценки </w:t>
            </w:r>
            <w:r w:rsidRPr="00182FD2">
              <w:lastRenderedPageBreak/>
              <w:t>условий труда, их регистрации в реестре, приостановления и прекращения деятельности по проведению СОУТ.</w:t>
            </w:r>
          </w:p>
          <w:p w:rsidR="00182FD2" w:rsidRPr="00182FD2" w:rsidRDefault="00182FD2" w:rsidP="00182FD2">
            <w:r w:rsidRPr="00182FD2">
              <w:t xml:space="preserve">Также обновили правила аттестации на право выполнения </w:t>
            </w:r>
            <w:r w:rsidRPr="00182FD2">
              <w:t>работ, по специальной оценке,</w:t>
            </w:r>
            <w:r w:rsidRPr="00182FD2">
              <w:t xml:space="preserve"> условий труда.</w:t>
            </w:r>
          </w:p>
          <w:p w:rsidR="00182FD2" w:rsidRPr="00182FD2" w:rsidRDefault="00182FD2" w:rsidP="00182FD2"/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lastRenderedPageBreak/>
              <w:t xml:space="preserve">Постановления Правительства РФ от 25 апреля 2024 </w:t>
            </w:r>
            <w:r w:rsidRPr="00182FD2">
              <w:lastRenderedPageBreak/>
              <w:t>года № 537 и от 6 мая 2024 года № 583.</w:t>
            </w:r>
          </w:p>
        </w:tc>
        <w:tc>
          <w:tcPr>
            <w:tcW w:w="0" w:type="auto"/>
            <w:vMerge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vAlign w:val="center"/>
            <w:hideMark/>
          </w:tcPr>
          <w:p w:rsidR="00182FD2" w:rsidRPr="00182FD2" w:rsidRDefault="00182FD2" w:rsidP="00182FD2"/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5. Расширил перечень работ, при выполнении которых работникам предоставляется бесплатное лечебно-профилактическое питание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В соответствии с ч. 2 и 3 ст. 222 ТК РФ при выполнении отдельных видов работ работникам положено бесплатное лечебно-профилактическое питание. Нормы определены приказами Минтруда России от 16 мая 2022 № 298н и от 12 мая 2022 № 291н.</w:t>
            </w:r>
          </w:p>
          <w:p w:rsidR="00182FD2" w:rsidRPr="00182FD2" w:rsidRDefault="00182FD2" w:rsidP="00182FD2">
            <w:r w:rsidRPr="00182FD2">
              <w:t>Обновили перечень, утверждённый Приказом № 298н. В него включён широкий ряд производств, профессий и должностей в сфере промышленности боеприпасов и спецхимии.</w:t>
            </w:r>
          </w:p>
          <w:p w:rsidR="00182FD2" w:rsidRPr="00182FD2" w:rsidRDefault="00182FD2" w:rsidP="00182FD2">
            <w:r w:rsidRPr="00182FD2">
              <w:t>В обновлённый перечень вошли профессии следующих категорий: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взрывчатых веществ (тротил, его полупродукты, гексоген, октоген, пентаэритриттетранитрат, тетрил);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нитроэфиров;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бронирование изделий из порохов, смесевого и пиротехнического твердого топлива различными методами;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малогазовых составов;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динамитов, детонитов, победитов, угленитов и взрывчатых смесей на основе нитроэфиров;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суррогатных взрывчатых веществ: аммонитов, аммотолов, акватолов, гранулитов, зерногранулитов, динафталитов;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прессованных изделий из взрывчатых веществ и из смесей на их основе;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lastRenderedPageBreak/>
              <w:t>снаряжение боеприпасов взрывчатыми веществами;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профессии вспомогательных участков по снаряжению боеприпасов;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инициирующих взрывчатых веществ, исходных компонентов для производства инициирующих взрывчатых веществ и составов на их основе (ударных, накольно-лучевых, воспламенительных, зажигательных, замедляющих);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снаряжения всех видов капсюльных изделий и средств инициирования: детонаторов, воспламенителей электродетонаторов, электрозапалов;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детонирующего шнура;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пиротехническое производство (осветительные, зажигательные, дымовые сигнальные, трассирующие и пиротехнические составы, твердое пиротехническое топливо, огнесмеси, снаряжение ими боеприпасов, элементов к ним и пиротехнических изделий);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сгорающих гильз (СГ);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пироксилина и коллоксилина (нитроцеллюлозы);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пироксилиновых малогигроскопичных порохов;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полигоны и испытательные станции нитроглицериновых порохов, твердых топлив, взрывчатых веществ, боеприпасов, всех видов капсюлей-детонаторов, электродетонаторов, капсюлей-воспламенителей, электрозапалов, пиротехнических составов и изделий;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взрывчатых аминов и полупродуктов для них;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снаряжение всех видов изделий хлорацетофеноном;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смесевого твердого топлива;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t>производство этиленимина и полиэтиленимина;</w:t>
            </w:r>
          </w:p>
          <w:p w:rsidR="00182FD2" w:rsidRPr="00182FD2" w:rsidRDefault="00182FD2" w:rsidP="00182FD2">
            <w:pPr>
              <w:numPr>
                <w:ilvl w:val="0"/>
                <w:numId w:val="2"/>
              </w:numPr>
            </w:pPr>
            <w:r w:rsidRPr="00182FD2">
              <w:lastRenderedPageBreak/>
              <w:t>производство органосиликатных материалов.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lastRenderedPageBreak/>
              <w:t>Приказ Минтруда России от 19 марта 2024 № 122н</w:t>
            </w:r>
          </w:p>
        </w:tc>
        <w:tc>
          <w:tcPr>
            <w:tcW w:w="0" w:type="auto"/>
            <w:vMerge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vAlign w:val="center"/>
            <w:hideMark/>
          </w:tcPr>
          <w:p w:rsidR="00182FD2" w:rsidRPr="00182FD2" w:rsidRDefault="00182FD2" w:rsidP="00182FD2"/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lastRenderedPageBreak/>
              <w:t>6. Заявление о регистрации в реестре аккредитованных организаций и ИП, оказывающих услуги в области охраны труда, можно подать через единый портал Госуслуг в электронной форме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Электронное заявление нужно подписать УКЭП или УНЭП с созданным внутри инфраструктуры сертификатом ключа. Применить УНЭП может и физлицо, которое представляет интересы заявителя на основании доверенности.</w:t>
            </w:r>
          </w:p>
          <w:p w:rsidR="00182FD2" w:rsidRPr="00182FD2" w:rsidRDefault="00182FD2" w:rsidP="00182FD2">
            <w:r w:rsidRPr="00182FD2">
              <w:t>При подаче электронного заявления отдельные сведения заполняются посредством размещённой на Госуслугах интерактивной формы.</w:t>
            </w:r>
          </w:p>
          <w:p w:rsidR="00182FD2" w:rsidRPr="00182FD2" w:rsidRDefault="00182FD2" w:rsidP="00182FD2">
            <w:r w:rsidRPr="00182FD2">
              <w:t>Решение от Минтруда придёт заявителю также на Госуслуги в электронной форме.</w:t>
            </w:r>
          </w:p>
          <w:p w:rsidR="00182FD2" w:rsidRPr="00182FD2" w:rsidRDefault="00182FD2" w:rsidP="00182FD2">
            <w:r w:rsidRPr="00182FD2">
              <w:t>К заявлению об изменении сведений, содержащихся в реестре, нужно приложить копии документов, подтверждающих основания для внесения изменений, если таких сведений нет в распоряжении Минтруда или иных органов государственной власти и их нельзя получить посредством системы межведомственного электронного взаимодействия.</w:t>
            </w:r>
          </w:p>
          <w:p w:rsidR="00182FD2" w:rsidRPr="00182FD2" w:rsidRDefault="00182FD2" w:rsidP="00182FD2">
            <w:r w:rsidRPr="00182FD2">
              <w:t>Заявление о внесении изменений в реестр рассмотрят в течение 21 рабочего дня (ранее было 30).</w:t>
            </w:r>
          </w:p>
          <w:p w:rsidR="00182FD2" w:rsidRPr="00182FD2" w:rsidRDefault="00182FD2" w:rsidP="00182FD2">
            <w:r w:rsidRPr="00182FD2">
              <w:t>При подаче электронного заявления о возобновлении аккредитации уведомление заявителя о принятом решении направят через Госуслуги.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Постановление Правительства РФ от 16 августа 2023 № 1347</w:t>
            </w:r>
          </w:p>
        </w:tc>
        <w:tc>
          <w:tcPr>
            <w:tcW w:w="0" w:type="auto"/>
            <w:vMerge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vAlign w:val="center"/>
            <w:hideMark/>
          </w:tcPr>
          <w:p w:rsidR="00182FD2" w:rsidRPr="00182FD2" w:rsidRDefault="00182FD2" w:rsidP="00182FD2"/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7.Оказывать первую помощь нужно по новым правилам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Утвердили новый Порядок оказания первой помощи, где закрепили последовательность проведения, перечень состоя</w:t>
            </w:r>
            <w:r>
              <w:t>ний, при которых она необходима</w:t>
            </w:r>
            <w:r w:rsidRPr="00182FD2">
              <w:t>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Приказ Минздрава от 3 мая 2024 № 220н</w:t>
            </w:r>
          </w:p>
        </w:tc>
        <w:tc>
          <w:tcPr>
            <w:tcW w:w="0" w:type="auto"/>
            <w:vMerge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vAlign w:val="center"/>
            <w:hideMark/>
          </w:tcPr>
          <w:p w:rsidR="00182FD2" w:rsidRPr="00182FD2" w:rsidRDefault="00182FD2" w:rsidP="00182FD2"/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lastRenderedPageBreak/>
              <w:t>8. Расширили перечень психиатрических противопоказаний для отдельных видов работ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В Перечень вошли органические, аффективные и невротические расстройства, расстройства, связанные с употреблением психоактивных веществ, шизофрения, умственная отсталость и другие заболевания.</w:t>
            </w:r>
          </w:p>
          <w:p w:rsidR="00182FD2" w:rsidRPr="00182FD2" w:rsidRDefault="00182FD2" w:rsidP="00182FD2">
            <w:r w:rsidRPr="00182FD2">
              <w:t>С психическим расстройствами запрещено:</w:t>
            </w:r>
          </w:p>
          <w:p w:rsidR="00182FD2" w:rsidRPr="00182FD2" w:rsidRDefault="00182FD2" w:rsidP="00182FD2">
            <w:pPr>
              <w:numPr>
                <w:ilvl w:val="0"/>
                <w:numId w:val="3"/>
              </w:numPr>
            </w:pPr>
            <w:r w:rsidRPr="00182FD2">
              <w:t>вождение автомобиля;</w:t>
            </w:r>
          </w:p>
          <w:p w:rsidR="00182FD2" w:rsidRPr="00182FD2" w:rsidRDefault="00182FD2" w:rsidP="00182FD2">
            <w:pPr>
              <w:numPr>
                <w:ilvl w:val="0"/>
                <w:numId w:val="3"/>
              </w:numPr>
            </w:pPr>
            <w:r w:rsidRPr="00182FD2">
              <w:t>оборот оружия;</w:t>
            </w:r>
          </w:p>
          <w:p w:rsidR="00182FD2" w:rsidRPr="00182FD2" w:rsidRDefault="00182FD2" w:rsidP="00182FD2">
            <w:pPr>
              <w:numPr>
                <w:ilvl w:val="0"/>
                <w:numId w:val="3"/>
              </w:numPr>
            </w:pPr>
            <w:r w:rsidRPr="00182FD2">
              <w:t>работа со взрывчатыми веществами, атомной энергией и секретными сведениями;</w:t>
            </w:r>
          </w:p>
          <w:p w:rsidR="00182FD2" w:rsidRPr="00182FD2" w:rsidRDefault="00182FD2" w:rsidP="00182FD2">
            <w:pPr>
              <w:numPr>
                <w:ilvl w:val="0"/>
                <w:numId w:val="3"/>
              </w:numPr>
            </w:pPr>
            <w:r w:rsidRPr="00182FD2">
              <w:t>аварийно-спасательные работы; подземная добыча угля;</w:t>
            </w:r>
          </w:p>
          <w:p w:rsidR="00182FD2" w:rsidRPr="00182FD2" w:rsidRDefault="00182FD2" w:rsidP="00182FD2">
            <w:pPr>
              <w:numPr>
                <w:ilvl w:val="0"/>
                <w:numId w:val="3"/>
              </w:numPr>
            </w:pPr>
            <w:r w:rsidRPr="00182FD2">
              <w:t>присмотр за детьми; преподавание и т.д.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Приказ Минздрава от 26 декабря 2023 № 720н</w:t>
            </w:r>
          </w:p>
        </w:tc>
        <w:tc>
          <w:tcPr>
            <w:tcW w:w="0" w:type="auto"/>
            <w:vMerge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vAlign w:val="center"/>
            <w:hideMark/>
          </w:tcPr>
          <w:p w:rsidR="00182FD2" w:rsidRPr="00182FD2" w:rsidRDefault="00182FD2" w:rsidP="00182FD2"/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9. Вступили в силу новые обязательные требования к разработке норм выдачи СИЗ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В работе можно применять только единые типовые нормы выдачи СИЗ.</w:t>
            </w:r>
          </w:p>
          <w:p w:rsidR="00182FD2" w:rsidRPr="00182FD2" w:rsidRDefault="00182FD2" w:rsidP="00182FD2">
            <w:r w:rsidRPr="00182FD2">
              <w:t>Работодатели обязаны разрабатывать свои нормы выдачи СИЗ на основании Единых типовых норм, утверждённых Приказом Минтруда России от 29 декабря 2021 № 767н (ЕТН).</w:t>
            </w:r>
          </w:p>
          <w:p w:rsidR="00182FD2" w:rsidRPr="00182FD2" w:rsidRDefault="00182FD2" w:rsidP="00182FD2">
            <w:r w:rsidRPr="00182FD2">
              <w:t>ЕТН содержат перечень профессий и должностей, а также конкретные нормы выдачи СИЗ для каждой из них с учётом специфики работы. Есть нормы, которые работодатель определяет сам по документам изготовителя.</w:t>
            </w:r>
          </w:p>
          <w:p w:rsidR="00182FD2" w:rsidRPr="00182FD2" w:rsidRDefault="00182FD2" w:rsidP="00182FD2">
            <w:r w:rsidRPr="00182FD2">
              <w:t>При определении норм выдачи СИЗ нужно учитывать результаты СОУТ и оценки профрисков.</w:t>
            </w:r>
          </w:p>
          <w:p w:rsidR="00182FD2" w:rsidRPr="00182FD2" w:rsidRDefault="00182FD2" w:rsidP="00182FD2">
            <w:r w:rsidRPr="00182FD2">
              <w:t>Самостоятельно уменьшать нормы выдачи СИЗ, установленные в ЕТН нельзя. Возможно только их увеличение при обоснованной необходимости.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Приказ Минтруда России от 29 октября 2021 № 766н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С 1 января 2025</w:t>
            </w:r>
          </w:p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lastRenderedPageBreak/>
              <w:t>10. Скорректировали перечень медицинских противопоказаний к вредным работам, а также к работам, при выполнении которых проводятся обязательные предварительные и периодические медосмотры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Поправки касаются болезней уха и сосцевидного отростка.</w:t>
            </w:r>
          </w:p>
          <w:p w:rsidR="00182FD2" w:rsidRPr="00182FD2" w:rsidRDefault="00182FD2" w:rsidP="00182FD2">
            <w:r w:rsidRPr="00182FD2">
              <w:t>Противопоказанием является кондуктивная, нейросенсорная, смешанная форма потери слуха с одно- или двусторонним снижением слуха или глухотой (за исключением лиц с врожденной или приобретенной в детстве (до 17 лет включительно) тугоухостью или глухотой):</w:t>
            </w:r>
          </w:p>
          <w:p w:rsidR="00182FD2" w:rsidRPr="00182FD2" w:rsidRDefault="00182FD2" w:rsidP="00182FD2">
            <w:pPr>
              <w:numPr>
                <w:ilvl w:val="0"/>
                <w:numId w:val="4"/>
              </w:numPr>
            </w:pPr>
            <w:r w:rsidRPr="00182FD2">
              <w:t>для поступающих на работу — I — IV степень снижения слуха;</w:t>
            </w:r>
          </w:p>
          <w:p w:rsidR="00182FD2" w:rsidRPr="00182FD2" w:rsidRDefault="00182FD2" w:rsidP="00182FD2">
            <w:pPr>
              <w:numPr>
                <w:ilvl w:val="0"/>
                <w:numId w:val="4"/>
              </w:numPr>
            </w:pPr>
            <w:r w:rsidRPr="00182FD2">
              <w:t>для работающих — II — IV степень снижения слуха.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Приказ Минздрава России от 2 октября 2024 № 509н</w:t>
            </w:r>
          </w:p>
        </w:tc>
        <w:tc>
          <w:tcPr>
            <w:tcW w:w="0" w:type="auto"/>
            <w:vMerge w:val="restart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С 1 марта 2025</w:t>
            </w:r>
          </w:p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11. Вступили в силу новые Требования к размещению, хранению и использованию аптечки для оказания работниками первой помощи пострадавшим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С 1 сентября 2024 года аптечку для работников следует собирать по правилам, утверждённым Приказом Минздрава РФ от 24 мая 2024 № 262н.</w:t>
            </w:r>
          </w:p>
          <w:p w:rsidR="00182FD2" w:rsidRPr="00182FD2" w:rsidRDefault="00182FD2" w:rsidP="00182FD2">
            <w:r w:rsidRPr="00182FD2">
              <w:t>С 1 марта 2025 года таже необходимо соблюдать правила размещения, хранения и использования аптечек первой помощи.</w:t>
            </w:r>
          </w:p>
          <w:p w:rsidR="00182FD2" w:rsidRPr="00182FD2" w:rsidRDefault="00182FD2" w:rsidP="00182FD2">
            <w:r w:rsidRPr="00182FD2">
              <w:t>Работодатель обязан укомплектовать аптечками первой помощи рабочие места, следить за маркировкой, сроком годности и обновлением лекарств и медицинских изделий.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8F9F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Приказ Минтруда России от 9 августа 2024 № 398н</w:t>
            </w:r>
          </w:p>
        </w:tc>
        <w:tc>
          <w:tcPr>
            <w:tcW w:w="0" w:type="auto"/>
            <w:vMerge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vAlign w:val="center"/>
            <w:hideMark/>
          </w:tcPr>
          <w:p w:rsidR="00182FD2" w:rsidRPr="00182FD2" w:rsidRDefault="00182FD2" w:rsidP="00182FD2"/>
        </w:tc>
      </w:tr>
      <w:tr w:rsidR="00182FD2" w:rsidRPr="00182FD2" w:rsidTr="00182FD2"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12. Ввели обязательные квалификационные требования для специалистов, отвечающих за пожарную безопасность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Нельзя назначить на должность ответственного за обеспечение пожарной безопасности здания или сооружения любого сотрудника.</w:t>
            </w:r>
            <w:r w:rsidRPr="00182FD2">
              <w:br/>
            </w:r>
            <w:r w:rsidRPr="00182FD2">
              <w:br/>
              <w:t>Ответственное лицо должно соответствовать квалификационным требованиям, указанным в квалификационных справочниках, утверждаемых в порядке, устанавливаемом Правительством РФ, и (или) профессиональным стандартам (при наличии) (пройти соответствующее обучение).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EECEB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182FD2" w:rsidRPr="00182FD2" w:rsidRDefault="00182FD2" w:rsidP="00182FD2">
            <w:r w:rsidRPr="00182FD2">
              <w:t>Федеральный закон от 24 сентября 2022 № 370-ФЗ</w:t>
            </w:r>
          </w:p>
        </w:tc>
        <w:tc>
          <w:tcPr>
            <w:tcW w:w="0" w:type="auto"/>
            <w:vMerge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vAlign w:val="center"/>
            <w:hideMark/>
          </w:tcPr>
          <w:p w:rsidR="00182FD2" w:rsidRPr="00182FD2" w:rsidRDefault="00182FD2" w:rsidP="00182FD2"/>
        </w:tc>
      </w:tr>
    </w:tbl>
    <w:p w:rsidR="00182FD2" w:rsidRPr="00182FD2" w:rsidRDefault="00182FD2" w:rsidP="00182FD2">
      <w:r w:rsidRPr="00182FD2">
        <w:lastRenderedPageBreak/>
        <w:t>В 2024 — 2025 годах в сфере охраны труда произошло немало изменений: ввели новый акт о несчастном случае на производстве, изменилась методика СОУТ, начали действовать новые правила оказания первой помощи, изменились требования к профессиональной подготовке специалистов по пожарной безопасности.</w:t>
      </w:r>
    </w:p>
    <w:p w:rsidR="00182FD2" w:rsidRPr="00182FD2" w:rsidRDefault="00182FD2" w:rsidP="00182FD2">
      <w:r w:rsidRPr="00182FD2">
        <w:t>Об этих и многих других новшествах работодателям важно знать, чтобы не допускать нарушений. В таблице 1 собрали памятку по главным законодательным новикам в сфере охраны труда, которые были приняты за последнее время.</w:t>
      </w:r>
    </w:p>
    <w:p w:rsidR="00182FD2" w:rsidRPr="00182FD2" w:rsidRDefault="00182FD2" w:rsidP="00182FD2">
      <w:r>
        <w:rPr>
          <w:b/>
          <w:bCs/>
        </w:rPr>
        <w:t xml:space="preserve">Таблица </w:t>
      </w:r>
      <w:r w:rsidR="00104968">
        <w:rPr>
          <w:b/>
          <w:bCs/>
        </w:rPr>
        <w:t>и</w:t>
      </w:r>
      <w:bookmarkStart w:id="0" w:name="_GoBack"/>
      <w:bookmarkEnd w:id="0"/>
      <w:r w:rsidRPr="00182FD2">
        <w:rPr>
          <w:b/>
          <w:bCs/>
        </w:rPr>
        <w:t>зменений по охране труда 2024-2025</w:t>
      </w:r>
    </w:p>
    <w:p w:rsidR="00182FD2" w:rsidRPr="00182FD2" w:rsidRDefault="00182FD2" w:rsidP="00182FD2">
      <w:r w:rsidRPr="00182FD2">
        <w:t>Не забудьте учитывать поправки в своей работе.</w:t>
      </w:r>
    </w:p>
    <w:p w:rsidR="000B1ABF" w:rsidRDefault="000B1ABF"/>
    <w:sectPr w:rsidR="000B1ABF" w:rsidSect="00182F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7DE8"/>
    <w:multiLevelType w:val="multilevel"/>
    <w:tmpl w:val="E872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BE49E7"/>
    <w:multiLevelType w:val="multilevel"/>
    <w:tmpl w:val="CEBC9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E86ADC"/>
    <w:multiLevelType w:val="multilevel"/>
    <w:tmpl w:val="8A461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A0620C"/>
    <w:multiLevelType w:val="multilevel"/>
    <w:tmpl w:val="4E489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D2"/>
    <w:rsid w:val="000B1ABF"/>
    <w:rsid w:val="00104968"/>
    <w:rsid w:val="0018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98161"/>
  <w15:chartTrackingRefBased/>
  <w15:docId w15:val="{4B3846CA-B66A-420D-9E43-995F0F60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2F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</dc:creator>
  <cp:keywords/>
  <dc:description/>
  <cp:lastModifiedBy>Postmaster</cp:lastModifiedBy>
  <cp:revision>3</cp:revision>
  <dcterms:created xsi:type="dcterms:W3CDTF">2025-07-14T00:35:00Z</dcterms:created>
  <dcterms:modified xsi:type="dcterms:W3CDTF">2025-07-14T00:42:00Z</dcterms:modified>
</cp:coreProperties>
</file>