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2FC" w:rsidRDefault="00D002FC" w:rsidP="00D002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Совет сельского поселения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Новоберезовское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D002FC" w:rsidRDefault="00D002FC" w:rsidP="00D002FC">
      <w:pPr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D002FC" w:rsidRDefault="00D002FC" w:rsidP="00D002FC">
      <w:pPr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D002FC" w:rsidRDefault="00D002FC" w:rsidP="00D002FC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«24» декабря 2020                                                           № 38</w:t>
      </w:r>
    </w:p>
    <w:p w:rsidR="00D002FC" w:rsidRDefault="00D002FC" w:rsidP="00D002FC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овоберезовское</w:t>
      </w:r>
      <w:proofErr w:type="spellEnd"/>
    </w:p>
    <w:p w:rsidR="00D002FC" w:rsidRDefault="00D002FC" w:rsidP="00D002FC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плана социально-экономического развития сельского поселения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 на 2021 год</w:t>
      </w:r>
    </w:p>
    <w:p w:rsidR="00D002FC" w:rsidRDefault="00D002FC" w:rsidP="00D002FC">
      <w:pPr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02FC" w:rsidRDefault="00D002FC" w:rsidP="00D002FC">
      <w:pPr>
        <w:suppressAutoHyphens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02FC" w:rsidRDefault="00D002FC" w:rsidP="00D002FC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пунктом 4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пунктом 4 части 4 статьи 24 Устава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Новоберёзовское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Совет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002FC" w:rsidRDefault="00D002FC" w:rsidP="00D002FC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002FC" w:rsidRDefault="00D002FC" w:rsidP="00D002FC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D002FC" w:rsidRDefault="00D002FC" w:rsidP="00D002FC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Утвердить план социально-экономического развития сельского поселения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 на 2021 год (план прилагается).</w:t>
      </w:r>
    </w:p>
    <w:p w:rsidR="00D002FC" w:rsidRDefault="00D002FC" w:rsidP="00D002FC">
      <w:pPr>
        <w:spacing w:line="360" w:lineRule="exac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002FC" w:rsidRDefault="00D002FC" w:rsidP="00D002FC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обнародовать на информационном стенде </w:t>
      </w:r>
    </w:p>
    <w:p w:rsidR="00D002FC" w:rsidRDefault="00D002FC" w:rsidP="00D002FC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002FC" w:rsidRDefault="00D002FC" w:rsidP="00D002FC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002FC" w:rsidRDefault="00D002FC" w:rsidP="00D002FC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D002FC" w:rsidRDefault="00D002FC" w:rsidP="00D002FC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А.А.Назимов               </w:t>
      </w:r>
    </w:p>
    <w:p w:rsidR="00D002FC" w:rsidRDefault="00D002FC" w:rsidP="00D002FC">
      <w:pPr>
        <w:rPr>
          <w:rFonts w:ascii="Times New Roman" w:hAnsi="Times New Roman" w:cs="Times New Roman"/>
          <w:sz w:val="28"/>
          <w:szCs w:val="28"/>
        </w:rPr>
      </w:pPr>
    </w:p>
    <w:p w:rsidR="00D002FC" w:rsidRDefault="00D002FC" w:rsidP="00D002FC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D002FC" w:rsidRDefault="00D002FC" w:rsidP="00D002FC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D002FC" w:rsidRDefault="00D002FC" w:rsidP="00D002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lastRenderedPageBreak/>
        <w:t>План социально-экономического развития сельского поселения «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» за 2020  год и задачи на 2021 год</w:t>
      </w:r>
    </w:p>
    <w:p w:rsidR="00D002FC" w:rsidRDefault="00D002FC" w:rsidP="00D002F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1772AF"/>
          <w:kern w:val="36"/>
          <w:sz w:val="36"/>
          <w:szCs w:val="36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5437"/>
        <w:gridCol w:w="992"/>
        <w:gridCol w:w="1277"/>
        <w:gridCol w:w="1277"/>
      </w:tblGrid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-175" w:firstLine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Индикаторы</w:t>
            </w:r>
          </w:p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Показатели на 01.01.2020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Прогноз на 2021г</w:t>
            </w: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Территория муниципального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Общая площадь муниципального образования - всего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2781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2781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находящаяся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частной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собственности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собственности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собственности муниципального образования: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2781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Земли в черте поселений, входящих в состав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жилой застройки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общественно-деловой застройки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-13" w:firstLine="25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общего 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24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2495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2495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транспорта, связи, инженерных коммуникаций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под объектами иного специального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сельскохозяйственного 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земли, занятые особо охраняемыми территориями 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земли, не вовлеченные в градостроительную или иную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Общая протяженность освещенных частей улиц, проездов, набережных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24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rPr>
          <w:trHeight w:val="46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Протяженность автомобильных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24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6,8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14,8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15,2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Общее количество населенных пунктов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</w:t>
            </w: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2. Органы местного самоуправления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Численность и состав лиц, замещающих выборные муниципальные должности и должности муниципальной службы по категориям и группам должностей (по полу, возрасту, стажу работы на муниципальной службе, оплате их труда)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Численность и состав лиц, замещающих выборные му</w:t>
            </w:r>
            <w:r>
              <w:rPr>
                <w:rFonts w:ascii="Times New Roman" w:hAnsi="Times New Roman" w:cs="Times New Roman"/>
                <w:b/>
              </w:rPr>
              <w:softHyphen/>
              <w:t>ниципальные должности и должности муниципаль</w:t>
            </w:r>
            <w:r>
              <w:rPr>
                <w:rFonts w:ascii="Times New Roman" w:hAnsi="Times New Roman" w:cs="Times New Roman"/>
                <w:b/>
              </w:rPr>
              <w:softHyphen/>
              <w:t>ной службы по категори</w:t>
            </w:r>
            <w:r>
              <w:rPr>
                <w:rFonts w:ascii="Times New Roman" w:hAnsi="Times New Roman" w:cs="Times New Roman"/>
                <w:b/>
              </w:rPr>
              <w:softHyphen/>
              <w:t>ям и группам должностей (по уровню базового про</w:t>
            </w:r>
            <w:r>
              <w:rPr>
                <w:rFonts w:ascii="Times New Roman" w:hAnsi="Times New Roman" w:cs="Times New Roman"/>
                <w:b/>
              </w:rPr>
              <w:softHyphen/>
              <w:t>фессионального образова</w:t>
            </w:r>
            <w:r>
              <w:rPr>
                <w:rFonts w:ascii="Times New Roman" w:hAnsi="Times New Roman" w:cs="Times New Roman"/>
                <w:b/>
              </w:rPr>
              <w:softHyphen/>
              <w:t>ния и направлениям высше</w:t>
            </w:r>
            <w:r>
              <w:rPr>
                <w:rFonts w:ascii="Times New Roman" w:hAnsi="Times New Roman" w:cs="Times New Roman"/>
                <w:b/>
              </w:rPr>
              <w:softHyphen/>
              <w:t>го профессионального обра</w:t>
            </w:r>
            <w:r>
              <w:rPr>
                <w:rFonts w:ascii="Times New Roman" w:hAnsi="Times New Roman" w:cs="Times New Roman"/>
                <w:b/>
              </w:rPr>
              <w:softHyphen/>
              <w:t>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Численность и состав лиц, замещающих выборные муниципальные должности и должности муниципальной службы, получивших дополнительное профессиональное образование по категориям и группам должностей (по видам и направлениям бучения, видам учебных заведений)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Среднемесячная заработная плата лиц, замещающих выборные муниципальные должности и должности муниципальной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Списочная численность работников органов местного самоуправления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Среднемесячная заработная плата работников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Представительный орган: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Дата выборов представительного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число, месяц,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13.09.2020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2.7.2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Сроки полномочий предста</w:t>
            </w:r>
            <w:r>
              <w:rPr>
                <w:rFonts w:ascii="Times New Roman" w:hAnsi="Times New Roman" w:cs="Times New Roman"/>
              </w:rPr>
              <w:softHyphen/>
              <w:t>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меся</w:t>
            </w:r>
            <w:r>
              <w:rPr>
                <w:rFonts w:ascii="Times New Roman" w:hAnsi="Times New Roman" w:cs="Times New Roman"/>
              </w:rPr>
              <w:softHyphen/>
              <w:t>цев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60 мес.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60 мес.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Способ формирования представительного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выборы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выборы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Общая численность депута</w:t>
            </w:r>
            <w:r>
              <w:rPr>
                <w:rFonts w:ascii="Times New Roman" w:hAnsi="Times New Roman" w:cs="Times New Roman"/>
              </w:rPr>
              <w:softHyphen/>
              <w:t>тов представительного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Численность депутатов представительного органа на постоянной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местной администрации,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назначенный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 контракту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Население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Численность постоянного населения  -</w:t>
            </w:r>
          </w:p>
          <w:p w:rsidR="00D002FC" w:rsidRDefault="00D002FC" w:rsidP="00D10029">
            <w:pPr>
              <w:shd w:val="clear" w:color="auto" w:fill="FFFFFF"/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в возрасте: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моложе трудоспособного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трудоспособном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499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старше трудоспособного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209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Мужчины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Женщины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Дети 0-16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Дети 17-18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3.4.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родившихся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3.6.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3.7.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Естественный прирост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</w:rPr>
              <w:t>убыль (-)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+5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3.8.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Уровень образования населения в возрасте 15 лет и более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высшее профессиональное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среднее (полное)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основное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начальное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3.8.6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не имеют начального общего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3.8.6.1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 - неграмотные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3.9.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Национальный состав населения численность населения наиболее многочисленных национальностей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домохозяйств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</w:t>
            </w:r>
            <w:r>
              <w:rPr>
                <w:rFonts w:ascii="Times New Roman" w:hAnsi="Times New Roman" w:cs="Times New Roman"/>
              </w:rPr>
              <w:softHyphen/>
              <w:t>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Средний размер домохозяйств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прибывших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выбывших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Миграционный прирост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Основные экономические 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юридических лиц,  прошедших государственную регистрацию (по состоянию 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индивидуальных пред</w:t>
            </w:r>
            <w:r>
              <w:rPr>
                <w:rFonts w:ascii="Times New Roman" w:hAnsi="Times New Roman" w:cs="Times New Roman"/>
                <w:b/>
              </w:rPr>
              <w:softHyphen/>
              <w:t>принимателей, прошедших государственную регистрацию (по состоянию 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Среднесписочная численность работников организаций (без субъектов малого предпринимательства)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в организациях муниципальной формы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отгруженных товаров собственного производства, выполненных работ и услуг собственными силами (без субъектов малого предпринимательства)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softHyphen/>
              <w:t>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rPr>
          <w:trHeight w:val="291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млн. руб</w:t>
            </w:r>
            <w:r>
              <w:rPr>
                <w:rFonts w:ascii="Times New Roman" w:hAnsi="Times New Roman" w:cs="Times New Roman"/>
              </w:rPr>
              <w:softHyphen/>
              <w:t>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6,0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Оборот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1,5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платных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вида услуг: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4.7.2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связи (почтовой)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коммунальные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учреждений 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медицинские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привлеченных инвестиций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млн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млн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 счет средств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млн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2. Финансы муниципального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Бюджет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Доходы местного бюджета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softHyphen/>
              <w:t>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Налоги на прибыль  организаций: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Налоги на имущество 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1.1.9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Безвозмездные перечисления от других бюджетов бюджетной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Субвенции бюджетам  переданные полномочия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Расходы местного бюд</w:t>
            </w:r>
            <w:r>
              <w:rPr>
                <w:rFonts w:ascii="Times New Roman" w:hAnsi="Times New Roman" w:cs="Times New Roman"/>
                <w:b/>
              </w:rPr>
              <w:softHyphen/>
              <w:t>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20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Начисление на выплаты по оплате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Транспортные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20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10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rPr>
          <w:trHeight w:val="759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Арендная плата за пользование имуществом</w:t>
            </w: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работы,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Безвозмездные  перечисления муниципальным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Перечисления другим бюджетам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1.3.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(-), 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(+)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1.4.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Внутренний муниципаль</w:t>
            </w:r>
            <w:r>
              <w:rPr>
                <w:rFonts w:ascii="Times New Roman" w:hAnsi="Times New Roman" w:cs="Times New Roman"/>
                <w:b/>
              </w:rPr>
              <w:softHyphen/>
              <w:t>ный долг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 Труд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отраслях экономики, всего</w:t>
            </w:r>
            <w:proofErr w:type="gramEnd"/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занятые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484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490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производственных отраслях,</w:t>
            </w: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сельском </w:t>
            </w:r>
            <w:proofErr w:type="gramStart"/>
            <w:r>
              <w:rPr>
                <w:rFonts w:ascii="Times New Roman" w:hAnsi="Times New Roman" w:cs="Times New Roman"/>
              </w:rPr>
              <w:t>хозяйстве</w:t>
            </w:r>
            <w:proofErr w:type="gramEnd"/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крестьянских (фермерских) хозяйствах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Транспорт и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Социальная сфера,</w:t>
            </w:r>
          </w:p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здравоохранение и предоставление социальных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41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других отраслях,</w:t>
            </w:r>
          </w:p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Индивидуальной трудовой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Численность безработных, зарегистрированных в службе занятости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Численность населения в трудоспособном возрасте не занятого трудовой деятельностью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140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промышленных предприятий,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малых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Численность, работающих на промышленных предприятиях, всего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малых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сельскохозяйственных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на сельскохозяйственных предприятиях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крестьянских (фермерских) хозяйствах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личных подсобных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155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личных подсобных хозяйствах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135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строительных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малых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строительных организациях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Количество торговых организаций (ИП и юр. лица), </w:t>
            </w: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10.2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малых и </w:t>
            </w:r>
            <w:proofErr w:type="spellStart"/>
            <w:r>
              <w:rPr>
                <w:rFonts w:ascii="Times New Roman" w:hAnsi="Times New Roman" w:cs="Times New Roman"/>
              </w:rPr>
              <w:t>микропредприятий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240,0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Павильоны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Палатки, киоски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Аптеки и аптечные магазины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Аптечные киоски и пункты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торговых организациях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Количество предприятий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Столовые, закусочные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зала обслуживания посетителей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120,0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Рестораны, кафе, бары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19.1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19.2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зала обслуживания посетителей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30,4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на предприятиях общественного питания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предприятий бытового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муниципальных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 видам услуг: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Ремонт, покраска и пошив обуви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Ремонт и пошив меховых и кожаных изделий, текстильной галантереи, ремонт, пошив и вязание трикотажных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22.3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Изготовление и ремонт мебели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22.5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фотоателье, фото- и кино-лабораторий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парикмахерских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виды бытовых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на предприятиях бытового обслуживания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Другие услуги для населения: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Ремонт и строительство жилья и других построек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Ритуальные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Автозаправочные станции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 Показатели жилищного фонда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Общая площадь жилищного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right="-6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15837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right="-6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15837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 правах частной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15665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15665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Общая площадь общежитий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квартир и домов индивидуального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Оборудование жилищного фонда: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Водопроводом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43,6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Канализацией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Центральным отоплением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Газом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Печным отоплением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Ваннами (душем)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Горячим водоснабжением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3.8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Напольными электроплитами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приватизированных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Общая площадь приватизированного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тыс. кв.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6520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6781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семей, состоящих на учете на улучшение жилищных условий,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Количество многоквартирных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многоквартирных жилых домов, оснащенных приборами учета: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тепловой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холодной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горячей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квартир и домов индивидуального типа, оснащенных приборами учета: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холодной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горячей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электроэнергии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302</w:t>
            </w: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5. Показатели уличного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Уличных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Протяженность освещенных улиц, проездов, набережных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их удельный вес в общей протяженности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6. Показатели санитарной очистки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спецмашин по очистке и уборке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Площадь механизированной уборки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тыс.кв.м.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удельный вес в общей убираемой площади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Вывезено твердых бытовых отходов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уб.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мусоросборных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точек у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пунктов утильсырья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полигонов, отходов, свалок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улиц, не оборудованных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мусоросборными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точками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7. Показатели банно-прачечного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Прачечных (с учетом прачечных самообслуживания)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Единовременная вместимость бань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8. Показатели дорожного хозяйства и транспорта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Общая протяженность дорог (ведомственного и общего пользования)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из них с твердым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улиц, не имеющих твердого 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Протяженность улиц,  не имеющих твердого 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Протяженность пассажирских маршрутов по видам транспорта,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 маршрутов, включая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коммерческие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>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автобусов в режиме "маршрутного такси"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стационарных гаражей автотранспортных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9. Показатели связи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предприятий связи общего пользования по обслуживанию клиентов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телефонных аппаратов телефонной сети общего пользования или имеющих на нее выход,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69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том числе домашних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Таксофонов  городской телефонной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улиц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не имеющих таксофонов телефон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междугородных переговорных пунктов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кабин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междугородных телефонов-автоматов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абонентов сотовой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500</w:t>
            </w: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10. Показатели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детских дошкольных учреждений (ДДУ)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Число мест в дошкольных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Численность детей, посещающих ДДУ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Численность педагогических работников ДДУ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водопровода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центрального отопления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горячего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телефонной связи с районным центром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lang w:eastAsia="ar-SA"/>
              </w:rPr>
              <w:t>Число постоянных ДДУ, расположенных в зданиях требующих капитального ремонта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общеобразователь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ных школ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начальные (структурные подразделения)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основные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них учащиеся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64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средние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них учащиеся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вечерние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учащихся в общеобразователь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ных школах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64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Доля учащихся, занимающихся в первую смену в общей численности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педагогических работников,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том числе в вечерней школе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школ, расположенных в приспособленных зданиях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школ, расположенных в ветхих и аварийных зданиях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школ, расположенных в зданиях, требующих капитального ремонта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 школьных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зданий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не имеющих канализации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 школьных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зданий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не имеющих центрального отопления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Затраты по отрасли "Образование",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из них расходы из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11. Показатели здравоохранения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Больницы всех ведомств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коек в больницах всех ведомств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Из общего числа больниц - детские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Станции скорой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Амбулаторно-поликлинические учреждения всех ведомств (включая офисы врача общей практики)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посещений в амбулаторно-поликлинических учреждениях всех ведомств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посещен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/ смену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Численность врачей всех специальностей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Численность среднего медицинского персонала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12. Показатели правоохранительной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РОВД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опорных пунктов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поселковых отделений милиции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зарегистрированных преступлений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13. Показатели спорта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спортивных сооружений: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стадионы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спортивные залы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плавательные бассейны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площадки, оборудованные спортивным инвентарем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лыжные базы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стрелковые тиры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физкультурно-оздоровительные центры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Детские юношеские спортивные школы (ДЮСШ)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в ДЮСШ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физкультурно-спортивных клубов,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из них детских и подростковых физкультурно-спортивных клубов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коллективов физкультуры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14. Показатели культуры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Дома культуры, клубы находящегося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мест в Домах культуры, клубах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клубных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работников учреж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дений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Музыкальные и художественные школы: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количество школ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численность учащихся в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Кинотеатры (киноустановки), находящиеся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мест в кинотеатрах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Музеи, находящиеся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них число экспонатов основного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тыс. 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Библиотеки, находящиеся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том числе общедоступные (публичные)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Книжный фонд общедоступных (публичных) библио</w:t>
            </w:r>
            <w:r>
              <w:rPr>
                <w:rFonts w:ascii="Times New Roman" w:hAnsi="Times New Roman" w:cs="Times New Roman"/>
                <w:lang w:eastAsia="ar-SA"/>
              </w:rPr>
              <w:softHyphen/>
              <w:t>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кз.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10,7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Число библиотечных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пользователей общедоступных  (публичных) </w:t>
            </w:r>
            <w:r>
              <w:rPr>
                <w:rFonts w:ascii="Times New Roman" w:hAnsi="Times New Roman" w:cs="Times New Roman"/>
                <w:lang w:eastAsia="ar-SA"/>
              </w:rPr>
              <w:lastRenderedPageBreak/>
              <w:t>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9.5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Книговыдача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кз.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памятников истории  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002FC" w:rsidTr="00D1002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FC" w:rsidRDefault="00D002FC" w:rsidP="00D1002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последние 20 лет в стране наметилось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устойчивая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депопуляция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населения, т.е. спад рождаемости.  Социальные последствия этого связаны с перспективой  сокращения трудового потенциала, экономической активности населения, его старения. Основными приоритетами, по которым определяется демографическая обстановка, это рождаемость и смертность. На территории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эти показатели выглядят следующим образом:</w:t>
      </w:r>
    </w:p>
    <w:tbl>
      <w:tblPr>
        <w:tblW w:w="0" w:type="auto"/>
        <w:tblLook w:val="04A0"/>
      </w:tblPr>
      <w:tblGrid>
        <w:gridCol w:w="2085"/>
        <w:gridCol w:w="170"/>
        <w:gridCol w:w="1081"/>
        <w:gridCol w:w="1417"/>
        <w:gridCol w:w="1418"/>
      </w:tblGrid>
      <w:tr w:rsidR="00D002FC" w:rsidTr="00D10029">
        <w:tc>
          <w:tcPr>
            <w:tcW w:w="20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</w:tr>
      <w:tr w:rsidR="00D002FC" w:rsidTr="00D10029">
        <w:tc>
          <w:tcPr>
            <w:tcW w:w="20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Родилось</w:t>
            </w:r>
          </w:p>
        </w:tc>
        <w:tc>
          <w:tcPr>
            <w:tcW w:w="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D002FC" w:rsidTr="00D10029">
        <w:tc>
          <w:tcPr>
            <w:tcW w:w="20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Умерло</w:t>
            </w:r>
          </w:p>
        </w:tc>
        <w:tc>
          <w:tcPr>
            <w:tcW w:w="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</w:tbl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семьях все меньше и меньше остается умения прощать и благодарить, находить компромиссы, умение видеть и слышать другого, дарить радость, проявлять заботу. Сейчас отношения строятся все больше на выяснениях – кто круче, умнее, успешнее. Чаще всего вина лежит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взрослых, что не привили детям культа семьи. Передача телеканалов пестрят пропагандой потребительского отношения к жизни. В российских селах перестроечных времен практически не было семей, где  воспитывался один ребенок.  В городах, где все отчуждены от всех, этого не замечается: не все ли равно, сколько детей у соседей. Современное общество пошло дальше – ради пресловутого комфорта  некоторые семьи предпочитают жить без детей. Обычная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малодетных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семьях чрезмерная опека над детьми увеличивает риск воспитания эгоиста, замкнутого на собственных интересах, происходит разрыв связей между поколениями, утрачивается значение – совместный домашний труд.</w:t>
      </w:r>
    </w:p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с молодежью – это всегда инвестиции в будущее. Необходимо культивировать в молодежной среде ценности, которые не зависят от времени и обстоятельств – доброта, милосердие, уважение. Только созидатели могут создать сильное государство. На нашей территории имеется две школы – основная и начальная, два детских сада, дом культуры в селе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три сельских клуба, библиотека,  два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врачебная амбулатория пользуются уважением жителей поселения.</w:t>
      </w:r>
    </w:p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 постоянного взаимодействия всех заинтересованных служб прослеживается слабо и задача администрации, депутатского корпуса быть связующим звеном между службами.</w:t>
      </w:r>
    </w:p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тема – это ориентир на здоровый образ жизни.</w:t>
      </w:r>
    </w:p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Врачи констатируют, что высок уровень смертности по так называемым управляемым причинам, т.е. последствия неправильного образа жизни – это и злоупотребление  алкоголем, курением, несвоевременная диагностика заболеваний.  Все начинается с семьи, здесь формируется культура поведения, здоровья. Если родители сами пассивные, предпочитают свой досуг проводить у телевизора или компьютера, то и дети следуют их примеру.</w:t>
      </w: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Похозяйственные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книги ведутся на бумажном носителе и в электронном виде. С целью более полного информирования граждан следует отметить, что книги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похозяйственного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учета  являются документами первичного административного учета населения, наличия у него земли, скота и другого имущества. Данная информация используется органами исполнительной власти, официальной статистикой и кредитными учреждениями.</w:t>
      </w:r>
    </w:p>
    <w:p w:rsidR="00D002FC" w:rsidRDefault="00D002FC" w:rsidP="00D002FC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статье 8 Федерального закона о 07.07.2003 г. №112-ФЗ «О личном подсобном хозяйстве» 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похозяйственной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книги содержит в себе: сведения о списках членов личного подсобного хозяйства, занятых посевами и посадками сельскохозяйственных культур, плодовыми и ягодными насаждениями; количестве сельскохозяйственных животных, птиц и пчел; сельскохозяйственной технике, оборудовании, транспортных средствах, принадлежащих на праве собственности или ином праве гражданину, ведущему хозяйство.</w:t>
      </w:r>
      <w:proofErr w:type="gramEnd"/>
    </w:p>
    <w:p w:rsidR="00D002FC" w:rsidRDefault="00D002FC" w:rsidP="00D002FC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похозяйственных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книг осуществляется на основании сведений, предоставляемых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гражданами, ведущими личное подсобное хозяйство по состоянию на     1 июля каждого года и проходит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путем сплошного обхода хозяйств и опроса его членов, либо при личном обращении граждан в Администрацию сельского поселения.</w:t>
      </w:r>
    </w:p>
    <w:p w:rsidR="00D002FC" w:rsidRDefault="00D002FC" w:rsidP="00D002FC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2020 году прямой обход частных подворий был проведен в июне месяце. Просьба к жителям нашего поселения – предоставлять достоверные сведения – о проживающих, о земельных участках,  содержащихся животных и птицы. Эти сведения необходимы для организации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крестьянко-фермерских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хозяйств и развития кооперации.</w:t>
      </w:r>
    </w:p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2019 год намечено:</w:t>
      </w:r>
    </w:p>
    <w:p w:rsidR="00D002FC" w:rsidRDefault="00D002FC" w:rsidP="00D002FC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54"/>
        <w:gridCol w:w="4447"/>
        <w:gridCol w:w="1425"/>
        <w:gridCol w:w="1824"/>
      </w:tblGrid>
      <w:tr w:rsidR="00D002FC" w:rsidTr="00D10029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Организация и проведение массовых мероприятий, участие в районных конкурсах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Проведение массовых мероприятий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40 000 </w:t>
            </w:r>
          </w:p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02FC" w:rsidTr="00D10029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Укрепление материально- технической базы учреждений физкультуры и спорта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Приобретение спортинвентаря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3 000 </w:t>
            </w:r>
          </w:p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02FC" w:rsidTr="00D10029">
        <w:trPr>
          <w:trHeight w:val="260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Проведение финансового оздоровления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 коммунальных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предприятий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Ремонт кровли сельского клуба 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ижняя Хила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300 000</w:t>
            </w:r>
          </w:p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районный бюджет</w:t>
            </w:r>
          </w:p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</w:tc>
      </w:tr>
      <w:tr w:rsidR="00D002FC" w:rsidTr="00D10029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Достижение уровня благоустройства и озеленения поселения в соответствии с установленными нормативами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Благоустройство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 Содержание мест для захоронения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5. Озеленение территории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10 000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400 000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10 000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02FC" w:rsidTr="00D10029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Устранение несанкционированных свалок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Уборка свалок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5 000 местный бюджет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02FC" w:rsidTr="00D10029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Завершение процесса разграничения земель по уровням собственности и юридического оформления права муниципальной собственности на земельные участки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 Межевание земель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2. Оформление зданий клубов в собственность (СДК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овоберезовское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, сельский клуб с.Нижняя Хила)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3. установка противопожарной сигнализации в СДК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50 000 бюджет района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30 000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80 000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D002FC" w:rsidTr="00D10029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spacing w:after="0"/>
              <w:rPr>
                <w:rFonts w:cs="Times New Roman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928 000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FC" w:rsidRDefault="00D002FC" w:rsidP="00D1002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002FC" w:rsidRDefault="00D002FC" w:rsidP="00D002FC">
      <w:pPr>
        <w:pBdr>
          <w:bottom w:val="single" w:sz="6" w:space="5" w:color="F5F5F5"/>
        </w:pBdr>
        <w:shd w:val="clear" w:color="auto" w:fill="FFFFFF"/>
        <w:spacing w:line="22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pBdr>
          <w:bottom w:val="single" w:sz="6" w:space="5" w:color="195392"/>
        </w:pBdr>
        <w:shd w:val="clear" w:color="auto" w:fill="FFFFFF"/>
        <w:spacing w:after="75" w:line="300" w:lineRule="atLeast"/>
        <w:ind w:left="-30"/>
        <w:outlineLvl w:val="2"/>
        <w:rPr>
          <w:rFonts w:ascii="Arial" w:eastAsia="Times New Roman" w:hAnsi="Arial" w:cs="Arial"/>
          <w:color w:val="FFFFFF"/>
          <w:sz w:val="27"/>
          <w:szCs w:val="27"/>
        </w:rPr>
      </w:pPr>
      <w:r>
        <w:rPr>
          <w:rFonts w:ascii="Arial" w:eastAsia="Times New Roman" w:hAnsi="Arial" w:cs="Arial"/>
          <w:color w:val="FFFFFF"/>
          <w:sz w:val="27"/>
          <w:szCs w:val="27"/>
        </w:rPr>
        <w:t>Полезные ссылки</w:t>
      </w:r>
    </w:p>
    <w:p w:rsidR="00D002FC" w:rsidRDefault="00D002FC" w:rsidP="00D002FC">
      <w:pPr>
        <w:pBdr>
          <w:bottom w:val="single" w:sz="6" w:space="5" w:color="F5F5F5"/>
        </w:pBdr>
        <w:shd w:val="clear" w:color="auto" w:fill="FFFFFF"/>
        <w:spacing w:after="0" w:line="225" w:lineRule="atLeast"/>
        <w:ind w:left="150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pBdr>
          <w:bottom w:val="single" w:sz="6" w:space="5" w:color="F5F5F5"/>
        </w:pBdr>
        <w:shd w:val="clear" w:color="auto" w:fill="FFFFFF"/>
        <w:spacing w:after="0" w:line="225" w:lineRule="atLeast"/>
        <w:ind w:left="150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pBdr>
          <w:bottom w:val="single" w:sz="6" w:space="5" w:color="F5F5F5"/>
        </w:pBdr>
        <w:shd w:val="clear" w:color="auto" w:fill="FFFFFF"/>
        <w:spacing w:after="0" w:line="225" w:lineRule="atLeast"/>
        <w:ind w:left="150"/>
        <w:rPr>
          <w:rFonts w:ascii="Times New Roman" w:eastAsia="Times New Roman" w:hAnsi="Times New Roman" w:cs="Times New Roman"/>
          <w:sz w:val="24"/>
          <w:szCs w:val="24"/>
        </w:rPr>
      </w:pPr>
    </w:p>
    <w:p w:rsidR="00D002FC" w:rsidRDefault="00D002FC" w:rsidP="00D002FC">
      <w:pPr>
        <w:spacing w:line="240" w:lineRule="auto"/>
        <w:ind w:left="300"/>
        <w:textAlignment w:val="top"/>
        <w:rPr>
          <w:rFonts w:ascii="Arial" w:eastAsia="Times New Roman" w:hAnsi="Arial" w:cs="Arial"/>
          <w:color w:val="999999"/>
          <w:sz w:val="21"/>
          <w:szCs w:val="21"/>
        </w:rPr>
      </w:pPr>
      <w:hyperlink r:id="rId5" w:history="1">
        <w:r>
          <w:rPr>
            <w:rStyle w:val="a3"/>
            <w:rFonts w:ascii="Arial" w:hAnsi="Arial" w:cs="Arial"/>
            <w:color w:val="FFFFFF"/>
            <w:sz w:val="21"/>
          </w:rPr>
          <w:t>Вернуться к началу</w:t>
        </w:r>
      </w:hyperlink>
    </w:p>
    <w:p w:rsidR="00D002FC" w:rsidRDefault="00D002FC" w:rsidP="00D002FC">
      <w:pPr>
        <w:rPr>
          <w:rFonts w:eastAsiaTheme="minorHAnsi"/>
          <w:lang w:eastAsia="en-US"/>
        </w:rPr>
      </w:pPr>
    </w:p>
    <w:p w:rsidR="00D002FC" w:rsidRDefault="00D002FC" w:rsidP="00D002FC"/>
    <w:p w:rsidR="00D002FC" w:rsidRDefault="00D002FC" w:rsidP="00D002FC"/>
    <w:p w:rsidR="00D002FC" w:rsidRDefault="00D002FC" w:rsidP="00D002FC"/>
    <w:p w:rsidR="00D002FC" w:rsidRDefault="00D002FC" w:rsidP="00D002FC"/>
    <w:p w:rsidR="00ED0387" w:rsidRDefault="00ED0387"/>
    <w:sectPr w:rsidR="00ED0387" w:rsidSect="00145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B"/>
    <w:multiLevelType w:val="single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16"/>
        <w:szCs w:val="1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002FC"/>
    <w:rsid w:val="00D002FC"/>
    <w:rsid w:val="00ED0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D002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semiHidden/>
    <w:unhideWhenUsed/>
    <w:qFormat/>
    <w:rsid w:val="00D002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semiHidden/>
    <w:unhideWhenUsed/>
    <w:qFormat/>
    <w:rsid w:val="00D002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rsid w:val="00D002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D002F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2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semiHidden/>
    <w:rsid w:val="00D002F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semiHidden/>
    <w:rsid w:val="00D002F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semiHidden/>
    <w:rsid w:val="00D002F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D002FC"/>
    <w:rPr>
      <w:rFonts w:ascii="Arial" w:eastAsia="Times New Roman" w:hAnsi="Arial" w:cs="Arial"/>
    </w:rPr>
  </w:style>
  <w:style w:type="character" w:styleId="a3">
    <w:name w:val="Hyperlink"/>
    <w:basedOn w:val="a0"/>
    <w:semiHidden/>
    <w:unhideWhenUsed/>
    <w:rsid w:val="00D002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02FC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autoRedefine/>
    <w:semiHidden/>
    <w:unhideWhenUsed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autoRedefine/>
    <w:semiHidden/>
    <w:unhideWhenUsed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D00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D002F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D00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semiHidden/>
    <w:rsid w:val="00D002F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semiHidden/>
    <w:unhideWhenUsed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D002FC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semiHidden/>
    <w:unhideWhenUsed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semiHidden/>
    <w:rsid w:val="00D002FC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Subtitle"/>
    <w:basedOn w:val="a"/>
    <w:link w:val="af"/>
    <w:qFormat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rsid w:val="00D002F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D002F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D002FC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semiHidden/>
    <w:unhideWhenUsed/>
    <w:rsid w:val="00D002F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D002FC"/>
    <w:rPr>
      <w:rFonts w:ascii="Tahoma" w:eastAsiaTheme="minorHAnsi" w:hAnsi="Tahoma" w:cs="Tahoma"/>
      <w:sz w:val="16"/>
      <w:szCs w:val="16"/>
      <w:lang w:eastAsia="en-US"/>
    </w:rPr>
  </w:style>
  <w:style w:type="paragraph" w:styleId="af2">
    <w:name w:val="No Spacing"/>
    <w:qFormat/>
    <w:rsid w:val="00D002F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report">
    <w:name w:val="report"/>
    <w:basedOn w:val="a"/>
    <w:semiHidden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a"/>
    <w:basedOn w:val="a"/>
    <w:semiHidden/>
    <w:rsid w:val="00D0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semiHidden/>
    <w:rsid w:val="00D002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D002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Normal">
    <w:name w:val="ConsNormal"/>
    <w:semiHidden/>
    <w:rsid w:val="00D002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D002FC"/>
  </w:style>
  <w:style w:type="paragraph" w:styleId="z-">
    <w:name w:val="HTML Bottom of Form"/>
    <w:basedOn w:val="a"/>
    <w:next w:val="a"/>
    <w:link w:val="z-0"/>
    <w:hidden/>
    <w:semiHidden/>
    <w:unhideWhenUsed/>
    <w:rsid w:val="00D002F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semiHidden/>
    <w:rsid w:val="00D002FC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rbizv.ru/?page_id=21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3622</Words>
  <Characters>20650</Characters>
  <Application>Microsoft Office Word</Application>
  <DocSecurity>0</DocSecurity>
  <Lines>172</Lines>
  <Paragraphs>48</Paragraphs>
  <ScaleCrop>false</ScaleCrop>
  <Company>Microsoft</Company>
  <LinksUpToDate>false</LinksUpToDate>
  <CharactersWithSpaces>24224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2020-12-18T00:35:00Z</dcterms:created>
  <dcterms:modified xsi:type="dcterms:W3CDTF">2020-12-18T00:35:00Z</dcterms:modified>
</cp:coreProperties>
</file>